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365E6D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F99290" wp14:editId="24788F3B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B477A9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B477A9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:rsidR="00B96098" w:rsidRDefault="00693EFF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B96098">
        <w:rPr>
          <w:rFonts w:ascii="Garamond" w:hAnsi="Garamond"/>
          <w:szCs w:val="22"/>
        </w:rPr>
        <w:t xml:space="preserve">dirigente di seconda fascia </w:t>
      </w:r>
      <w:r w:rsidR="005F15C3" w:rsidRPr="00B96098">
        <w:rPr>
          <w:rFonts w:ascii="Garamond" w:hAnsi="Garamond"/>
          <w:szCs w:val="22"/>
        </w:rPr>
        <w:t>appartenente al ruolo dell’Agenzia</w:t>
      </w:r>
    </w:p>
    <w:p w:rsidR="00693EFF" w:rsidRPr="00C97F12" w:rsidRDefault="005F15C3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C97F12">
        <w:rPr>
          <w:rFonts w:ascii="Garamond" w:hAnsi="Garamond"/>
          <w:szCs w:val="22"/>
        </w:rPr>
        <w:t>attualmente responsabile</w:t>
      </w:r>
      <w:r w:rsidR="00B96098" w:rsidRPr="00C97F12">
        <w:rPr>
          <w:rFonts w:ascii="Garamond" w:hAnsi="Garamond"/>
          <w:szCs w:val="22"/>
        </w:rPr>
        <w:t xml:space="preserve"> ………………..</w:t>
      </w:r>
      <w:r w:rsidR="00693EFF" w:rsidRPr="00C97F12">
        <w:rPr>
          <w:rFonts w:ascii="Garamond" w:hAnsi="Garamond"/>
          <w:szCs w:val="22"/>
        </w:rPr>
        <w:t xml:space="preserve"> ……………………………………….</w:t>
      </w:r>
    </w:p>
    <w:p w:rsidR="00A31018" w:rsidRPr="009E6139" w:rsidRDefault="00D62471" w:rsidP="009E6139">
      <w:pPr>
        <w:pStyle w:val="Corpotesto"/>
        <w:spacing w:after="60" w:line="320" w:lineRule="exact"/>
        <w:ind w:right="-1" w:firstLine="0"/>
        <w:rPr>
          <w:rFonts w:ascii="Garamond" w:hAnsi="Garamond"/>
          <w:b/>
          <w:bCs/>
          <w:i/>
        </w:rPr>
      </w:pPr>
      <w:r w:rsidRPr="000D7E96">
        <w:rPr>
          <w:rFonts w:ascii="Garamond" w:hAnsi="Garamond"/>
          <w:szCs w:val="22"/>
        </w:rPr>
        <w:t xml:space="preserve">presa visione dell’avviso </w:t>
      </w:r>
      <w:proofErr w:type="spellStart"/>
      <w:r w:rsidRPr="000D7E96">
        <w:rPr>
          <w:rFonts w:ascii="Garamond" w:hAnsi="Garamond"/>
          <w:szCs w:val="22"/>
        </w:rPr>
        <w:t>prot</w:t>
      </w:r>
      <w:proofErr w:type="spellEnd"/>
      <w:r w:rsidRPr="000D7E96">
        <w:rPr>
          <w:rFonts w:ascii="Garamond" w:hAnsi="Garamond"/>
          <w:szCs w:val="22"/>
        </w:rPr>
        <w:t xml:space="preserve">. </w:t>
      </w:r>
      <w:r w:rsidR="00645647">
        <w:rPr>
          <w:rFonts w:ascii="Garamond" w:hAnsi="Garamond"/>
          <w:szCs w:val="22"/>
        </w:rPr>
        <w:t>343588</w:t>
      </w:r>
      <w:bookmarkStart w:id="0" w:name="_GoBack"/>
      <w:bookmarkEnd w:id="0"/>
      <w:r w:rsidR="002513C3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/ 20</w:t>
      </w:r>
      <w:r w:rsidR="00B73C4C" w:rsidRPr="000D7E96">
        <w:rPr>
          <w:rFonts w:ascii="Garamond" w:hAnsi="Garamond"/>
          <w:szCs w:val="22"/>
        </w:rPr>
        <w:t>20</w:t>
      </w:r>
      <w:r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manifesta</w:t>
      </w:r>
      <w:r w:rsidR="00C304D5" w:rsidRPr="000D7E96">
        <w:rPr>
          <w:rFonts w:ascii="Garamond" w:hAnsi="Garamond"/>
          <w:szCs w:val="22"/>
        </w:rPr>
        <w:t xml:space="preserve"> la propria disponibilità </w:t>
      </w:r>
      <w:r w:rsidR="00394D69" w:rsidRPr="008A210A">
        <w:rPr>
          <w:rFonts w:ascii="Garamond" w:hAnsi="Garamond"/>
          <w:szCs w:val="22"/>
        </w:rPr>
        <w:t>per la</w:t>
      </w:r>
      <w:r w:rsidR="00A31018">
        <w:rPr>
          <w:rFonts w:ascii="Garamond" w:hAnsi="Garamond"/>
          <w:szCs w:val="22"/>
        </w:rPr>
        <w:t xml:space="preserve"> </w:t>
      </w:r>
      <w:r w:rsidR="00394D69" w:rsidRPr="008A210A">
        <w:rPr>
          <w:rFonts w:ascii="Garamond" w:hAnsi="Garamond"/>
          <w:szCs w:val="22"/>
        </w:rPr>
        <w:t>posizione</w:t>
      </w:r>
      <w:r w:rsidR="009E6139">
        <w:rPr>
          <w:rFonts w:ascii="Garamond" w:hAnsi="Garamond"/>
          <w:szCs w:val="22"/>
        </w:rPr>
        <w:t xml:space="preserve"> dirigenziale relativa </w:t>
      </w:r>
      <w:r w:rsidR="00B477A9">
        <w:rPr>
          <w:rFonts w:ascii="Garamond" w:hAnsi="Garamond"/>
          <w:szCs w:val="22"/>
        </w:rPr>
        <w:t>all’Ufficio delle Dogane di Savona</w:t>
      </w: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l’autonomia tecnica del personale delle Agenzie fiscali, a norma dell’art. 71, comma 2, del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trovarsii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lastRenderedPageBreak/>
              <w:t>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645647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645647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C97F12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645647">
      <w:rPr>
        <w:rFonts w:ascii="Garamond" w:hAnsi="Garamond" w:cs="Arial"/>
        <w:b/>
        <w:sz w:val="22"/>
        <w:szCs w:val="22"/>
      </w:rPr>
      <w:t>343588</w:t>
    </w:r>
    <w:r w:rsidR="005F15C3">
      <w:rPr>
        <w:rFonts w:ascii="Garamond" w:hAnsi="Garamond" w:cs="Arial"/>
        <w:b/>
        <w:sz w:val="22"/>
        <w:szCs w:val="22"/>
      </w:rPr>
      <w:t xml:space="preserve"> 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62A2"/>
    <w:rsid w:val="000D7E96"/>
    <w:rsid w:val="000E347C"/>
    <w:rsid w:val="000F03A8"/>
    <w:rsid w:val="0011166C"/>
    <w:rsid w:val="0011231D"/>
    <w:rsid w:val="001601D1"/>
    <w:rsid w:val="00177EFE"/>
    <w:rsid w:val="001A2412"/>
    <w:rsid w:val="001A3C40"/>
    <w:rsid w:val="001B276E"/>
    <w:rsid w:val="001D5420"/>
    <w:rsid w:val="001D7192"/>
    <w:rsid w:val="001E2F7A"/>
    <w:rsid w:val="001F3D50"/>
    <w:rsid w:val="00250445"/>
    <w:rsid w:val="002513AD"/>
    <w:rsid w:val="002513C3"/>
    <w:rsid w:val="00251FF0"/>
    <w:rsid w:val="00252C95"/>
    <w:rsid w:val="00257EDE"/>
    <w:rsid w:val="002D011A"/>
    <w:rsid w:val="002F4CE6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65BA4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5F15C3"/>
    <w:rsid w:val="0060574B"/>
    <w:rsid w:val="00606401"/>
    <w:rsid w:val="006130F9"/>
    <w:rsid w:val="00613A21"/>
    <w:rsid w:val="00622D5F"/>
    <w:rsid w:val="00623E19"/>
    <w:rsid w:val="00645647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648B4"/>
    <w:rsid w:val="00865C1F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658FB"/>
    <w:rsid w:val="00970F6D"/>
    <w:rsid w:val="009955CD"/>
    <w:rsid w:val="009E6139"/>
    <w:rsid w:val="00A00F07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A0932"/>
    <w:rsid w:val="00AB216B"/>
    <w:rsid w:val="00AB5913"/>
    <w:rsid w:val="00AD0FE9"/>
    <w:rsid w:val="00AD26FF"/>
    <w:rsid w:val="00B414A5"/>
    <w:rsid w:val="00B477A9"/>
    <w:rsid w:val="00B6575F"/>
    <w:rsid w:val="00B72829"/>
    <w:rsid w:val="00B73C4C"/>
    <w:rsid w:val="00B83D2E"/>
    <w:rsid w:val="00B92B1B"/>
    <w:rsid w:val="00B96098"/>
    <w:rsid w:val="00BC5B57"/>
    <w:rsid w:val="00BE5F81"/>
    <w:rsid w:val="00C059B6"/>
    <w:rsid w:val="00C304D5"/>
    <w:rsid w:val="00C430A6"/>
    <w:rsid w:val="00C66642"/>
    <w:rsid w:val="00C70D57"/>
    <w:rsid w:val="00C975F0"/>
    <w:rsid w:val="00C97F12"/>
    <w:rsid w:val="00CD7945"/>
    <w:rsid w:val="00CF4710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238A"/>
    <w:rsid w:val="00E45029"/>
    <w:rsid w:val="00E6448E"/>
    <w:rsid w:val="00E6483A"/>
    <w:rsid w:val="00EB35E3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BE95-1F1A-4270-8D5B-BD96D976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Modello+di+nota_web.dotx</Template>
  <TotalTime>6</TotalTime>
  <Pages>3</Pages>
  <Words>451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3778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cmnlsi74t56h501n</cp:lastModifiedBy>
  <cp:revision>9</cp:revision>
  <cp:lastPrinted>2020-06-18T13:02:00Z</cp:lastPrinted>
  <dcterms:created xsi:type="dcterms:W3CDTF">2020-09-29T13:04:00Z</dcterms:created>
  <dcterms:modified xsi:type="dcterms:W3CDTF">2020-10-05T14:28:00Z</dcterms:modified>
</cp:coreProperties>
</file>